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Pr="00434E6D" w:rsidRDefault="00434E6D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_x0000_s1028" style="position:absolute;margin-left:-.15pt;margin-top:3.45pt;width:234.15pt;height:258.6pt;z-index:-251658240" filled="f" stroked="f">
            <v:textbox style="mso-next-textbox:#_x0000_s1028">
              <w:txbxContent>
                <w:p w:rsidR="00434E6D" w:rsidRPr="00434E6D" w:rsidRDefault="00434E6D" w:rsidP="00434E6D">
                  <w:pPr>
                    <w:ind w:firstLine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53197" cy="734513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41" cy="73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E6D" w:rsidRPr="00FB110E" w:rsidRDefault="00434E6D" w:rsidP="00434E6D">
                  <w:pPr>
                    <w:tabs>
                      <w:tab w:val="left" w:pos="1800"/>
                      <w:tab w:val="left" w:pos="2700"/>
                    </w:tabs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Калиновка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34E6D" w:rsidRDefault="00434E6D" w:rsidP="00434E6D">
                  <w:pPr>
                    <w:spacing w:line="48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34E6D" w:rsidRPr="00FB110E" w:rsidRDefault="00434E6D" w:rsidP="00434E6D">
                  <w:pPr>
                    <w:spacing w:line="48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«15» октября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 г.</w:t>
                  </w:r>
                </w:p>
                <w:p w:rsidR="00434E6D" w:rsidRPr="00FB110E" w:rsidRDefault="00434E6D" w:rsidP="00434E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№ 40</w:t>
                  </w:r>
                </w:p>
                <w:p w:rsidR="00434E6D" w:rsidRPr="00FB110E" w:rsidRDefault="00434E6D" w:rsidP="00434E6D"/>
              </w:txbxContent>
            </v:textbox>
          </v:rect>
        </w:pic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tblpY="1410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434E6D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434E6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434E6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434E6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434E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 №</w:t>
                  </w:r>
                  <w:r w:rsidR="00434E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5 от «09» апреля 2021г. 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434E6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434E6D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434E6D">
        <w:rPr>
          <w:rFonts w:ascii="Times New Roman" w:hAnsi="Times New Roman" w:cs="Times New Roman"/>
          <w:sz w:val="28"/>
          <w:szCs w:val="28"/>
        </w:rPr>
        <w:t>дминистрация сельского поселения Калиновка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пост</w:t>
      </w:r>
      <w:r w:rsidR="00434E6D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434E6D">
        <w:rPr>
          <w:rFonts w:ascii="Times New Roman" w:hAnsi="Times New Roman" w:cs="Times New Roman"/>
          <w:bCs/>
          <w:sz w:val="28"/>
          <w:szCs w:val="28"/>
        </w:rPr>
        <w:t xml:space="preserve">льного района Сергиевский № 5 от «09» апреля 2021г.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434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34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Калиновка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434E6D">
        <w:rPr>
          <w:rFonts w:ascii="Times New Roman CYR" w:hAnsi="Times New Roman CYR" w:cs="Times New Roman CYR"/>
          <w:sz w:val="28"/>
          <w:szCs w:val="28"/>
        </w:rPr>
        <w:t>сельского поселения Калиновка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1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34E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4E6D">
        <w:rPr>
          <w:rFonts w:ascii="Times New Roman CYR" w:hAnsi="Times New Roman CYR" w:cs="Times New Roman CYR"/>
          <w:sz w:val="28"/>
          <w:szCs w:val="28"/>
        </w:rPr>
        <w:t>Калиновка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434E6D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34E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34E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C2" w:rsidRDefault="00E406C2" w:rsidP="00676222">
      <w:pPr>
        <w:spacing w:after="0"/>
      </w:pPr>
      <w:r>
        <w:separator/>
      </w:r>
    </w:p>
  </w:endnote>
  <w:endnote w:type="continuationSeparator" w:id="0">
    <w:p w:rsidR="00E406C2" w:rsidRDefault="00E406C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C2" w:rsidRDefault="00E406C2" w:rsidP="00676222">
      <w:pPr>
        <w:spacing w:after="0"/>
      </w:pPr>
      <w:r>
        <w:separator/>
      </w:r>
    </w:p>
  </w:footnote>
  <w:footnote w:type="continuationSeparator" w:id="0">
    <w:p w:rsidR="00E406C2" w:rsidRDefault="00E406C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4E6D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06C2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5965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74A01AD0AB702A9A059F1603BBA2C7EA1F8D780FE529EB2F883FB71M6iFH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DD3B-E97A-40F8-8C19-09E1CFA9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2021-09-30T11:42:00Z</cp:lastPrinted>
  <dcterms:created xsi:type="dcterms:W3CDTF">2021-10-15T13:23:00Z</dcterms:created>
  <dcterms:modified xsi:type="dcterms:W3CDTF">2021-10-15T13:23:00Z</dcterms:modified>
</cp:coreProperties>
</file>